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2EE" w:rsidRPr="00ED560B" w:rsidRDefault="009D12EE" w:rsidP="009D12EE">
      <w:pPr>
        <w:spacing w:line="240" w:lineRule="auto"/>
        <w:jc w:val="center"/>
        <w:rPr>
          <w:rFonts w:eastAsia="Times New Roman"/>
          <w:szCs w:val="24"/>
          <w:lang w:eastAsia="es-CO"/>
        </w:rPr>
      </w:pPr>
      <w:r w:rsidRPr="00ED560B">
        <w:rPr>
          <w:rFonts w:eastAsia="Times New Roman"/>
          <w:b/>
          <w:bCs/>
          <w:szCs w:val="24"/>
          <w:lang w:eastAsia="es-CO"/>
        </w:rPr>
        <w:t>OFICIO N° 010415</w:t>
      </w:r>
    </w:p>
    <w:p w:rsidR="009D12EE" w:rsidRDefault="009D12EE" w:rsidP="009D12EE">
      <w:pPr>
        <w:spacing w:line="240" w:lineRule="auto"/>
        <w:jc w:val="center"/>
        <w:rPr>
          <w:rFonts w:eastAsia="Times New Roman"/>
          <w:b/>
          <w:bCs/>
          <w:szCs w:val="24"/>
          <w:lang w:eastAsia="es-CO"/>
        </w:rPr>
      </w:pPr>
      <w:r w:rsidRPr="00ED560B">
        <w:rPr>
          <w:rFonts w:eastAsia="Times New Roman"/>
          <w:b/>
          <w:bCs/>
          <w:szCs w:val="24"/>
          <w:lang w:eastAsia="es-CO"/>
        </w:rPr>
        <w:t>10-02-2014</w:t>
      </w:r>
    </w:p>
    <w:p w:rsidR="00A97C9E" w:rsidRPr="00ED560B" w:rsidRDefault="00A97C9E" w:rsidP="009D12EE">
      <w:pPr>
        <w:spacing w:line="240" w:lineRule="auto"/>
        <w:jc w:val="center"/>
        <w:rPr>
          <w:rFonts w:eastAsia="Times New Roman"/>
          <w:szCs w:val="24"/>
          <w:lang w:eastAsia="es-CO"/>
        </w:rPr>
      </w:pPr>
      <w:bookmarkStart w:id="0" w:name="_GoBack"/>
      <w:bookmarkEnd w:id="0"/>
    </w:p>
    <w:p w:rsidR="009D12EE" w:rsidRPr="00ED560B" w:rsidRDefault="009D12EE" w:rsidP="009D12EE">
      <w:pPr>
        <w:spacing w:line="240" w:lineRule="auto"/>
        <w:jc w:val="center"/>
        <w:rPr>
          <w:rFonts w:eastAsia="Times New Roman"/>
          <w:szCs w:val="24"/>
          <w:lang w:eastAsia="es-CO"/>
        </w:rPr>
      </w:pPr>
      <w:r w:rsidRPr="00ED560B">
        <w:rPr>
          <w:rFonts w:eastAsia="Times New Roman"/>
          <w:b/>
          <w:bCs/>
          <w:szCs w:val="24"/>
          <w:lang w:eastAsia="es-CO"/>
        </w:rPr>
        <w:t>DIAN</w:t>
      </w:r>
    </w:p>
    <w:p w:rsidR="009D12EE" w:rsidRPr="00ED560B" w:rsidRDefault="009D12EE" w:rsidP="009D12EE">
      <w:pPr>
        <w:spacing w:line="240" w:lineRule="auto"/>
        <w:rPr>
          <w:rFonts w:eastAsia="Times New Roman"/>
          <w:szCs w:val="24"/>
          <w:lang w:eastAsia="es-CO"/>
        </w:rPr>
      </w:pPr>
      <w:r w:rsidRPr="00ED560B">
        <w:rPr>
          <w:rFonts w:eastAsia="Times New Roman"/>
          <w:b/>
          <w:bCs/>
          <w:szCs w:val="24"/>
          <w:lang w:eastAsia="es-CO"/>
        </w:rPr>
        <w:t> </w:t>
      </w:r>
    </w:p>
    <w:p w:rsidR="009D12EE" w:rsidRPr="00ED560B" w:rsidRDefault="009D12EE" w:rsidP="009D12EE">
      <w:pPr>
        <w:spacing w:line="240" w:lineRule="auto"/>
        <w:rPr>
          <w:rFonts w:eastAsia="Times New Roman"/>
          <w:szCs w:val="24"/>
          <w:lang w:eastAsia="es-CO"/>
        </w:rPr>
      </w:pPr>
      <w:r w:rsidRPr="00ED560B">
        <w:rPr>
          <w:rFonts w:eastAsia="Times New Roman"/>
          <w:b/>
          <w:bCs/>
          <w:szCs w:val="24"/>
          <w:lang w:eastAsia="es-CO"/>
        </w:rPr>
        <w:t> </w:t>
      </w:r>
    </w:p>
    <w:p w:rsidR="009D12EE" w:rsidRPr="00ED560B" w:rsidRDefault="009D12EE" w:rsidP="009D12EE">
      <w:pPr>
        <w:spacing w:line="240" w:lineRule="auto"/>
        <w:rPr>
          <w:rFonts w:eastAsia="Times New Roman"/>
          <w:szCs w:val="24"/>
          <w:lang w:eastAsia="es-CO"/>
        </w:rPr>
      </w:pPr>
      <w:r w:rsidRPr="00ED560B">
        <w:rPr>
          <w:rFonts w:eastAsia="Times New Roman"/>
          <w:szCs w:val="24"/>
          <w:lang w:eastAsia="es-CO"/>
        </w:rPr>
        <w:t>Dirección de Gestión Jurídica</w:t>
      </w:r>
    </w:p>
    <w:p w:rsidR="009D12EE" w:rsidRPr="00ED560B" w:rsidRDefault="009D12EE" w:rsidP="009D12EE">
      <w:pPr>
        <w:spacing w:line="240" w:lineRule="auto"/>
        <w:rPr>
          <w:rFonts w:eastAsia="Times New Roman"/>
          <w:szCs w:val="24"/>
          <w:lang w:eastAsia="es-CO"/>
        </w:rPr>
      </w:pPr>
      <w:r w:rsidRPr="00ED560B">
        <w:rPr>
          <w:rFonts w:eastAsia="Times New Roman"/>
          <w:szCs w:val="24"/>
          <w:lang w:eastAsia="es-CO"/>
        </w:rPr>
        <w:t>100200208 – 151</w:t>
      </w:r>
    </w:p>
    <w:p w:rsidR="009D12EE" w:rsidRPr="00ED560B" w:rsidRDefault="009D12EE" w:rsidP="009D12EE">
      <w:pPr>
        <w:spacing w:line="240" w:lineRule="auto"/>
        <w:rPr>
          <w:rFonts w:eastAsia="Times New Roman"/>
          <w:szCs w:val="24"/>
          <w:lang w:eastAsia="es-CO"/>
        </w:rPr>
      </w:pPr>
      <w:r w:rsidRPr="00ED560B">
        <w:rPr>
          <w:rFonts w:eastAsia="Times New Roman"/>
          <w:szCs w:val="24"/>
          <w:lang w:eastAsia="es-CO"/>
        </w:rPr>
        <w:t>Bogotá, D.C.</w:t>
      </w:r>
    </w:p>
    <w:p w:rsidR="009D12EE" w:rsidRPr="00ED560B" w:rsidRDefault="009D12EE" w:rsidP="009D12EE">
      <w:pPr>
        <w:spacing w:line="240" w:lineRule="auto"/>
        <w:rPr>
          <w:rFonts w:eastAsia="Times New Roman"/>
          <w:szCs w:val="24"/>
          <w:lang w:eastAsia="es-CO"/>
        </w:rPr>
      </w:pPr>
      <w:r w:rsidRPr="00ED560B">
        <w:rPr>
          <w:rFonts w:eastAsia="Times New Roman"/>
          <w:szCs w:val="24"/>
          <w:lang w:eastAsia="es-CO"/>
        </w:rPr>
        <w:t> </w:t>
      </w:r>
    </w:p>
    <w:p w:rsidR="009D12EE" w:rsidRPr="00ED560B" w:rsidRDefault="009D12EE" w:rsidP="009D12EE">
      <w:pPr>
        <w:spacing w:line="240" w:lineRule="auto"/>
        <w:rPr>
          <w:rFonts w:eastAsia="Times New Roman"/>
          <w:szCs w:val="24"/>
          <w:lang w:eastAsia="es-CO"/>
        </w:rPr>
      </w:pPr>
      <w:r w:rsidRPr="00ED560B">
        <w:rPr>
          <w:rFonts w:eastAsia="Times New Roman"/>
          <w:szCs w:val="24"/>
          <w:lang w:eastAsia="es-CO"/>
        </w:rPr>
        <w:t>Señora</w:t>
      </w:r>
    </w:p>
    <w:p w:rsidR="009D12EE" w:rsidRPr="00ED560B" w:rsidRDefault="009D12EE" w:rsidP="009D12EE">
      <w:pPr>
        <w:spacing w:line="240" w:lineRule="auto"/>
        <w:rPr>
          <w:rFonts w:eastAsia="Times New Roman"/>
          <w:szCs w:val="24"/>
          <w:lang w:eastAsia="es-CO"/>
        </w:rPr>
      </w:pPr>
      <w:r w:rsidRPr="00ED560B">
        <w:rPr>
          <w:rFonts w:eastAsia="Times New Roman"/>
          <w:b/>
          <w:bCs/>
          <w:szCs w:val="24"/>
          <w:lang w:eastAsia="es-CO"/>
        </w:rPr>
        <w:t>ELSY ALEXANDRA LÓPEZ RODRÍGUEZ</w:t>
      </w:r>
    </w:p>
    <w:p w:rsidR="009D12EE" w:rsidRPr="00ED560B" w:rsidRDefault="009D12EE" w:rsidP="009D12EE">
      <w:pPr>
        <w:spacing w:line="240" w:lineRule="auto"/>
        <w:rPr>
          <w:rFonts w:eastAsia="Times New Roman"/>
          <w:szCs w:val="24"/>
          <w:lang w:eastAsia="es-CO"/>
        </w:rPr>
      </w:pPr>
      <w:r w:rsidRPr="00ED560B">
        <w:rPr>
          <w:rFonts w:eastAsia="Times New Roman"/>
          <w:szCs w:val="24"/>
          <w:lang w:eastAsia="es-CO"/>
        </w:rPr>
        <w:t>Calle 90 No. 19 C-74 Piso 4</w:t>
      </w:r>
    </w:p>
    <w:p w:rsidR="009D12EE" w:rsidRPr="00ED560B" w:rsidRDefault="009D12EE" w:rsidP="009D12EE">
      <w:pPr>
        <w:spacing w:line="240" w:lineRule="auto"/>
        <w:rPr>
          <w:rFonts w:eastAsia="Times New Roman"/>
          <w:szCs w:val="24"/>
          <w:lang w:eastAsia="es-CO"/>
        </w:rPr>
      </w:pPr>
      <w:r w:rsidRPr="00ED560B">
        <w:rPr>
          <w:rFonts w:eastAsia="Times New Roman"/>
          <w:szCs w:val="24"/>
          <w:lang w:eastAsia="es-CO"/>
        </w:rPr>
        <w:t>Bogotá D.C.</w:t>
      </w:r>
    </w:p>
    <w:p w:rsidR="009D12EE" w:rsidRPr="00ED560B" w:rsidRDefault="009D12EE" w:rsidP="009D12EE">
      <w:pPr>
        <w:spacing w:line="240" w:lineRule="auto"/>
        <w:rPr>
          <w:rFonts w:eastAsia="Times New Roman"/>
          <w:szCs w:val="24"/>
          <w:lang w:eastAsia="es-CO"/>
        </w:rPr>
      </w:pPr>
      <w:r w:rsidRPr="00ED560B">
        <w:rPr>
          <w:rFonts w:eastAsia="Times New Roman"/>
          <w:szCs w:val="24"/>
          <w:lang w:eastAsia="es-CO"/>
        </w:rPr>
        <w:t> </w:t>
      </w:r>
    </w:p>
    <w:p w:rsidR="009D12EE" w:rsidRPr="00ED560B" w:rsidRDefault="009D12EE" w:rsidP="009D12EE">
      <w:pPr>
        <w:spacing w:line="240" w:lineRule="auto"/>
        <w:rPr>
          <w:rFonts w:eastAsia="Times New Roman"/>
          <w:szCs w:val="24"/>
          <w:lang w:eastAsia="es-CO"/>
        </w:rPr>
      </w:pPr>
      <w:r w:rsidRPr="00ED560B">
        <w:rPr>
          <w:rFonts w:eastAsia="Times New Roman"/>
          <w:b/>
          <w:bCs/>
          <w:szCs w:val="24"/>
          <w:lang w:eastAsia="es-CO"/>
        </w:rPr>
        <w:t>Referencia:</w:t>
      </w:r>
      <w:r w:rsidRPr="00ED560B">
        <w:rPr>
          <w:rFonts w:eastAsia="Times New Roman"/>
          <w:szCs w:val="24"/>
          <w:lang w:eastAsia="es-CO"/>
        </w:rPr>
        <w:t> Oficio radicado con el número 3949 el 28 de enero de 2014</w:t>
      </w:r>
    </w:p>
    <w:p w:rsidR="009D12EE" w:rsidRPr="00ED560B" w:rsidRDefault="009D12EE" w:rsidP="009D12EE">
      <w:pPr>
        <w:spacing w:line="240" w:lineRule="auto"/>
        <w:rPr>
          <w:rFonts w:eastAsia="Times New Roman"/>
          <w:szCs w:val="24"/>
          <w:lang w:eastAsia="es-CO"/>
        </w:rPr>
      </w:pPr>
      <w:r w:rsidRPr="00ED560B">
        <w:rPr>
          <w:rFonts w:eastAsia="Times New Roman"/>
          <w:szCs w:val="24"/>
          <w:lang w:eastAsia="es-CO"/>
        </w:rPr>
        <w:t> </w:t>
      </w:r>
    </w:p>
    <w:p w:rsidR="009D12EE" w:rsidRPr="00ED560B" w:rsidRDefault="009D12EE" w:rsidP="009D12EE">
      <w:pPr>
        <w:spacing w:line="240" w:lineRule="auto"/>
        <w:rPr>
          <w:rFonts w:eastAsia="Times New Roman"/>
          <w:szCs w:val="24"/>
          <w:lang w:eastAsia="es-CO"/>
        </w:rPr>
      </w:pPr>
      <w:r w:rsidRPr="00ED560B">
        <w:rPr>
          <w:rFonts w:eastAsia="Times New Roman"/>
          <w:szCs w:val="24"/>
          <w:lang w:eastAsia="es-CO"/>
        </w:rPr>
        <w:t> </w:t>
      </w:r>
    </w:p>
    <w:p w:rsidR="009D12EE" w:rsidRPr="00ED560B" w:rsidRDefault="009D12EE" w:rsidP="009D12EE">
      <w:pPr>
        <w:spacing w:line="240" w:lineRule="auto"/>
        <w:rPr>
          <w:rFonts w:eastAsia="Times New Roman"/>
          <w:szCs w:val="24"/>
          <w:lang w:eastAsia="es-CO"/>
        </w:rPr>
      </w:pPr>
      <w:r w:rsidRPr="00ED560B">
        <w:rPr>
          <w:rFonts w:eastAsia="Times New Roman"/>
          <w:szCs w:val="24"/>
          <w:lang w:eastAsia="es-CO"/>
        </w:rPr>
        <w:t>Cordial saludo Señora Elsy Alexandra:</w:t>
      </w:r>
    </w:p>
    <w:p w:rsidR="009D12EE" w:rsidRPr="00ED560B" w:rsidRDefault="009D12EE" w:rsidP="009D12EE">
      <w:pPr>
        <w:spacing w:line="240" w:lineRule="auto"/>
        <w:rPr>
          <w:rFonts w:eastAsia="Times New Roman"/>
          <w:szCs w:val="24"/>
          <w:lang w:eastAsia="es-CO"/>
        </w:rPr>
      </w:pPr>
      <w:r w:rsidRPr="00ED560B">
        <w:rPr>
          <w:rFonts w:eastAsia="Times New Roman"/>
          <w:szCs w:val="24"/>
          <w:lang w:eastAsia="es-CO"/>
        </w:rPr>
        <w:t> </w:t>
      </w:r>
    </w:p>
    <w:p w:rsidR="009D12EE" w:rsidRPr="00ED560B" w:rsidRDefault="009D12EE" w:rsidP="009D12EE">
      <w:pPr>
        <w:spacing w:line="240" w:lineRule="auto"/>
        <w:rPr>
          <w:rFonts w:eastAsia="Times New Roman"/>
          <w:szCs w:val="24"/>
          <w:lang w:eastAsia="es-CO"/>
        </w:rPr>
      </w:pPr>
      <w:r w:rsidRPr="00ED560B">
        <w:rPr>
          <w:rFonts w:eastAsia="Times New Roman"/>
          <w:szCs w:val="24"/>
          <w:lang w:eastAsia="es-CO"/>
        </w:rPr>
        <w:t>De manera atenta y en relación con el oficio de la referencia, por medio del cual usted reitera el derecho de petición radicado el día 21 de octubre de 2013, me permito informarle que la Coordinación de Relatoría de la Subdirección de Gestión de Normativa y Doctrina dio respuesta a su petición inicial, mediante oficio número 071400 de noviembre 7 de 2013. En el mencionado oficio del cual se adjunta copia, se remiten los Oficios 089822 de 2005 y 020194 del mismo año y la normatividad contenida en el Estatuto Tributario relacionada con el tema.</w:t>
      </w:r>
    </w:p>
    <w:p w:rsidR="009D12EE" w:rsidRPr="00ED560B" w:rsidRDefault="009D12EE" w:rsidP="009D12EE">
      <w:pPr>
        <w:spacing w:line="240" w:lineRule="auto"/>
        <w:rPr>
          <w:rFonts w:eastAsia="Times New Roman"/>
          <w:szCs w:val="24"/>
          <w:lang w:eastAsia="es-CO"/>
        </w:rPr>
      </w:pPr>
      <w:r w:rsidRPr="00ED560B">
        <w:rPr>
          <w:rFonts w:eastAsia="Times New Roman"/>
          <w:szCs w:val="24"/>
          <w:lang w:eastAsia="es-CO"/>
        </w:rPr>
        <w:t> </w:t>
      </w:r>
    </w:p>
    <w:p w:rsidR="009D12EE" w:rsidRPr="00ED560B" w:rsidRDefault="009D12EE" w:rsidP="009D12EE">
      <w:pPr>
        <w:spacing w:line="240" w:lineRule="auto"/>
        <w:rPr>
          <w:rFonts w:eastAsia="Times New Roman"/>
          <w:szCs w:val="24"/>
          <w:lang w:eastAsia="es-CO"/>
        </w:rPr>
      </w:pPr>
      <w:r w:rsidRPr="00ED560B">
        <w:rPr>
          <w:rFonts w:eastAsia="Times New Roman"/>
          <w:szCs w:val="24"/>
          <w:lang w:eastAsia="es-CO"/>
        </w:rPr>
        <w:t>De otro lado, vista su solicitud inicial y su reiteración posterior, este despacho confirma lo dicho en la respuesta de fecha noviembre 7 de 2013 y la adiciona con lo señalado en los conceptos 001 de julio 19 de 2013 y 059771 del mismo año, a más de lo establecido en el Artículo 7 del Decreto 522 de 2003 y en los Artículos </w:t>
      </w:r>
      <w:hyperlink r:id="rId5" w:tooltip="Estatuto Tributario CETA" w:history="1">
        <w:r w:rsidRPr="00ED560B">
          <w:rPr>
            <w:rFonts w:eastAsia="Times New Roman"/>
            <w:szCs w:val="24"/>
            <w:lang w:eastAsia="es-CO"/>
          </w:rPr>
          <w:t>468</w:t>
        </w:r>
      </w:hyperlink>
      <w:r w:rsidRPr="00ED560B">
        <w:rPr>
          <w:rFonts w:eastAsia="Times New Roman"/>
          <w:szCs w:val="24"/>
          <w:lang w:eastAsia="es-CO"/>
        </w:rPr>
        <w:t>, </w:t>
      </w:r>
      <w:hyperlink r:id="rId6" w:tooltip="Estatuto Tributario CETA" w:history="1">
        <w:r w:rsidRPr="00ED560B">
          <w:rPr>
            <w:rFonts w:eastAsia="Times New Roman"/>
            <w:szCs w:val="24"/>
            <w:lang w:eastAsia="es-CO"/>
          </w:rPr>
          <w:t>468-3</w:t>
        </w:r>
      </w:hyperlink>
      <w:r w:rsidRPr="00ED560B">
        <w:rPr>
          <w:rFonts w:eastAsia="Times New Roman"/>
          <w:szCs w:val="24"/>
          <w:lang w:eastAsia="es-CO"/>
        </w:rPr>
        <w:t> y </w:t>
      </w:r>
      <w:hyperlink r:id="rId7" w:tooltip="Estatuto Tributario CETA" w:history="1">
        <w:r w:rsidRPr="00ED560B">
          <w:rPr>
            <w:rFonts w:eastAsia="Times New Roman"/>
            <w:szCs w:val="24"/>
            <w:lang w:eastAsia="es-CO"/>
          </w:rPr>
          <w:t>476</w:t>
        </w:r>
      </w:hyperlink>
      <w:r w:rsidRPr="00ED560B">
        <w:rPr>
          <w:rFonts w:eastAsia="Times New Roman"/>
          <w:szCs w:val="24"/>
          <w:lang w:eastAsia="es-CO"/>
        </w:rPr>
        <w:t> numeral 5 del Estatuto Tributario, con base en los cuales se establece que únicamente se encuentra excluido del impuesto sobre las ventas "el servicio de arrendamiento de inmuebles para vivienda, y el arrendamiento de espacios para exposiciones y muestras artesanales nacionales incluidos los eventos artísticos y culturales".</w:t>
      </w:r>
    </w:p>
    <w:p w:rsidR="009D12EE" w:rsidRPr="00ED560B" w:rsidRDefault="009D12EE" w:rsidP="009D12EE">
      <w:pPr>
        <w:spacing w:line="240" w:lineRule="auto"/>
        <w:rPr>
          <w:rFonts w:eastAsia="Times New Roman"/>
          <w:szCs w:val="24"/>
          <w:lang w:eastAsia="es-CO"/>
        </w:rPr>
      </w:pPr>
      <w:r w:rsidRPr="00ED560B">
        <w:rPr>
          <w:rFonts w:eastAsia="Times New Roman"/>
          <w:szCs w:val="24"/>
          <w:lang w:eastAsia="es-CO"/>
        </w:rPr>
        <w:t> </w:t>
      </w:r>
    </w:p>
    <w:p w:rsidR="009D12EE" w:rsidRPr="00ED560B" w:rsidRDefault="009D12EE" w:rsidP="009D12EE">
      <w:pPr>
        <w:spacing w:line="240" w:lineRule="auto"/>
        <w:rPr>
          <w:rFonts w:eastAsia="Times New Roman"/>
          <w:szCs w:val="24"/>
          <w:lang w:eastAsia="es-CO"/>
        </w:rPr>
      </w:pPr>
      <w:r w:rsidRPr="00ED560B">
        <w:rPr>
          <w:rFonts w:eastAsia="Times New Roman"/>
          <w:szCs w:val="24"/>
          <w:lang w:eastAsia="es-CO"/>
        </w:rPr>
        <w:t>De otro lado, al no establecer la normatividad vigente una tarifa diferencial para el tipo de evento llamado "feria" y al no estar excluido del impuesto sobre las ventas, se colige que se encuentra gravada a la tarifa general. Ahora bien en lo atinente a señalar la diferencia semántica entre los términos feria y exposición, no le compete a esta entidad hacerlo.</w:t>
      </w:r>
    </w:p>
    <w:p w:rsidR="009D12EE" w:rsidRPr="00ED560B" w:rsidRDefault="009D12EE" w:rsidP="009D12EE">
      <w:pPr>
        <w:spacing w:line="240" w:lineRule="auto"/>
        <w:rPr>
          <w:rFonts w:eastAsia="Times New Roman"/>
          <w:szCs w:val="24"/>
          <w:lang w:eastAsia="es-CO"/>
        </w:rPr>
      </w:pPr>
      <w:r w:rsidRPr="00ED560B">
        <w:rPr>
          <w:rFonts w:eastAsia="Times New Roman"/>
          <w:szCs w:val="24"/>
          <w:lang w:eastAsia="es-CO"/>
        </w:rPr>
        <w:t> </w:t>
      </w:r>
    </w:p>
    <w:p w:rsidR="009D12EE" w:rsidRPr="00ED560B" w:rsidRDefault="009D12EE" w:rsidP="009D12EE">
      <w:pPr>
        <w:spacing w:line="240" w:lineRule="auto"/>
        <w:rPr>
          <w:rFonts w:eastAsia="Times New Roman"/>
          <w:szCs w:val="24"/>
          <w:lang w:eastAsia="es-CO"/>
        </w:rPr>
      </w:pPr>
      <w:r w:rsidRPr="00ED560B">
        <w:rPr>
          <w:rFonts w:eastAsia="Times New Roman"/>
          <w:szCs w:val="24"/>
          <w:lang w:eastAsia="es-CO"/>
        </w:rPr>
        <w:t>Atentamente,</w:t>
      </w:r>
    </w:p>
    <w:p w:rsidR="009D12EE" w:rsidRPr="00ED560B" w:rsidRDefault="009D12EE" w:rsidP="009D12EE">
      <w:pPr>
        <w:spacing w:line="240" w:lineRule="auto"/>
        <w:rPr>
          <w:rFonts w:eastAsia="Times New Roman"/>
          <w:szCs w:val="24"/>
          <w:lang w:eastAsia="es-CO"/>
        </w:rPr>
      </w:pPr>
      <w:r w:rsidRPr="00ED560B">
        <w:rPr>
          <w:rFonts w:eastAsia="Times New Roman"/>
          <w:szCs w:val="24"/>
          <w:lang w:eastAsia="es-CO"/>
        </w:rPr>
        <w:t> </w:t>
      </w:r>
    </w:p>
    <w:p w:rsidR="009D12EE" w:rsidRPr="00ED560B" w:rsidRDefault="009D12EE" w:rsidP="009D12EE">
      <w:pPr>
        <w:spacing w:line="240" w:lineRule="auto"/>
        <w:rPr>
          <w:rFonts w:eastAsia="Times New Roman"/>
          <w:szCs w:val="24"/>
          <w:lang w:eastAsia="es-CO"/>
        </w:rPr>
      </w:pPr>
      <w:r w:rsidRPr="00ED560B">
        <w:rPr>
          <w:rFonts w:eastAsia="Times New Roman"/>
          <w:szCs w:val="24"/>
          <w:lang w:eastAsia="es-CO"/>
        </w:rPr>
        <w:t> </w:t>
      </w:r>
    </w:p>
    <w:p w:rsidR="009D12EE" w:rsidRPr="00ED560B" w:rsidRDefault="009D12EE" w:rsidP="009D12EE">
      <w:pPr>
        <w:spacing w:line="240" w:lineRule="auto"/>
        <w:rPr>
          <w:rFonts w:eastAsia="Times New Roman"/>
          <w:szCs w:val="24"/>
          <w:lang w:eastAsia="es-CO"/>
        </w:rPr>
      </w:pPr>
      <w:r w:rsidRPr="00ED560B">
        <w:rPr>
          <w:rFonts w:eastAsia="Times New Roman"/>
          <w:b/>
          <w:bCs/>
          <w:szCs w:val="24"/>
          <w:lang w:eastAsia="es-CO"/>
        </w:rPr>
        <w:t>LEONOR EUGENIA RUIZ DE VILLALOBOS</w:t>
      </w:r>
    </w:p>
    <w:p w:rsidR="009D12EE" w:rsidRPr="00ED560B" w:rsidRDefault="009D12EE" w:rsidP="009D12EE">
      <w:pPr>
        <w:spacing w:line="240" w:lineRule="auto"/>
        <w:rPr>
          <w:rFonts w:eastAsia="Times New Roman"/>
          <w:szCs w:val="24"/>
          <w:lang w:eastAsia="es-CO"/>
        </w:rPr>
      </w:pPr>
      <w:r w:rsidRPr="00ED560B">
        <w:rPr>
          <w:rFonts w:eastAsia="Times New Roman"/>
          <w:szCs w:val="24"/>
          <w:lang w:eastAsia="es-CO"/>
        </w:rPr>
        <w:t>Directora de Gestión Jurídica (A)</w:t>
      </w:r>
    </w:p>
    <w:p w:rsidR="00B51D80" w:rsidRPr="00ED560B" w:rsidRDefault="00B51D80">
      <w:pPr>
        <w:rPr>
          <w:szCs w:val="24"/>
        </w:rPr>
      </w:pPr>
    </w:p>
    <w:sectPr w:rsidR="00B51D80" w:rsidRPr="00ED560B"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2EE"/>
    <w:rsid w:val="009D12EE"/>
    <w:rsid w:val="00A067C7"/>
    <w:rsid w:val="00A97C9E"/>
    <w:rsid w:val="00B51D80"/>
    <w:rsid w:val="00BC09CC"/>
    <w:rsid w:val="00ED56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34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ta.org.co/html/vista_de_un_articulo.asp?Norma=5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10894" TargetMode="External"/><Relationship Id="rId5" Type="http://schemas.openxmlformats.org/officeDocument/2006/relationships/hyperlink" Target="http://www.ceta.org.co/html/vista_de_un_articulo.asp?Norma=58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353</Words>
  <Characters>1943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2014-04-26T01:02:00Z</dcterms:created>
  <dcterms:modified xsi:type="dcterms:W3CDTF">2014-05-13T01:41:00Z</dcterms:modified>
</cp:coreProperties>
</file>